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Borders>
          <w:top w:val="none" w:color="000000" w:sz="6" w:space="0"/>
          <w:left w:val="none" w:color="000000" w:sz="6" w:space="0"/>
          <w:bottom w:val="none" w:color="000000" w:sz="6" w:space="0"/>
          <w:right w:val="none" w:color="000000" w:sz="6" w:space="0"/>
          <w:insideH w:val="none" w:color="000000" w:sz="6" w:space="0"/>
          <w:insideV w:val="none" w:color="000000" w:sz="6" w:space="0"/>
        </w:tblBorders>
        <w:tblLayout w:type="autofit"/>
        <w:tblCellMar>
          <w:left w:w="0" w:type="dxa"/>
          <w:top w:w="0" w:type="dxa"/>
          <w:right w:w="0" w:type="dxa"/>
          <w:bottom w:w="0" w:type="dxa"/>
        </w:tblCellMar>
      </w:tblPr>
      <w:tblGrid/>
      <w:tr>
        <w:tc>
          <w:tcPr>
            <w:tcW w:w="10772" w:type="dxa"/>
            <w:tcBorders>
              <w:top w:val="none"/>
              <w:left w:val="none"/>
              <w:bottom w:val="none"/>
              <w:right w:val="none"/>
            </w:tcBorders>
            <w:tcMar>
              <w:left w:w="108" w:type="dxa"/>
              <w:top w:w="0" w:type="dxa"/>
              <w:right w:w="108" w:type="dxa"/>
              <w:bottom w:w="0" w:type="dxa"/>
            </w:tcMar>
            <w:vAlign w:val="top"/>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20"/>
                <w:szCs w:val="20"/>
              </w:rPr>
              <w:t xml:space="preserve"> </w:t>
            </w:r>
          </w:p>
        </w:tc>
      </w:tr>
    </w:tbl>
    <w:p>
      <w:pPr>
        <w:spacing w:after="0" w:before="0"/>
        <w:ind w:right="0" w:firstLine="0" w:left="0"/>
        <w:outlineLvl w:val="9"/>
        <w:rPr>
          <w:rFonts w:ascii="Times New Roman" w:hAnsi="Times New Roman" w:eastAsia="Times New Roman" w:cs="Times New Roman"/>
          <w:sz w:val="24"/>
        </w:rPr>
      </w:pPr>
      <w:r>
        <w:rPr>
          <w:rFonts w:ascii="Times New Roman" w:hAnsi="Times New Roman" w:eastAsia="Times New Roman" w:cs="Times New Roman"/>
          <w:vanish/>
          <w:sz w:val="24"/>
          <w:szCs w:val="24"/>
        </w:rPr>
        <w:t xml:space="preserve"> </w:t>
      </w:r>
    </w:p>
    <w:tbl>
      <w:tblPr>
        <w:tblW w:w="10123" w:type="dxa"/>
        <w:tblInd w:w="93"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autofit"/>
        <w:tblCellMar>
          <w:left w:w="0" w:type="dxa"/>
          <w:top w:w="0" w:type="dxa"/>
          <w:right w:w="0" w:type="dxa"/>
          <w:bottom w:w="0" w:type="dxa"/>
        </w:tblCellMar>
      </w:tblPr>
      <w:tblGrid/>
      <w:tr>
        <w:trPr>
          <w:trHeight w:val="270"/>
        </w:trPr>
        <w:tc>
          <w:tcPr>
            <w:tcW w:w="5940" w:type="dxa"/>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b/>
                <w:sz w:val="20"/>
                <w:szCs w:val="20"/>
              </w:rPr>
              <w:t xml:space="preserve">ПОЯСНИТЕЛЬНАЯ ЗАПИСКА</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noWrap/>
            <w:tcMar>
              <w:left w:w="108" w:type="dxa"/>
              <w:top w:w="0" w:type="dxa"/>
              <w:right w:w="108" w:type="dxa"/>
              <w:bottom w:w="0" w:type="dxa"/>
            </w:tcMar>
            <w:vAlign w:val="bottom"/>
            <w:hideMark/>
          </w:tcPr>
          <w:p>
            <w:pPr>
              <w:ind w:right="0" w:left="0"/>
              <w:rPr>
                <w:sz w:val="24"/>
              </w:rPr>
            </w:pPr>
          </w:p>
        </w:tc>
      </w:tr>
      <w:tr>
        <w:trPr>
          <w:trHeight w:val="255"/>
        </w:trPr>
        <w:tc>
          <w:tcPr>
            <w:tcW w:w="5940" w:type="dxa"/>
            <w:noWrap/>
            <w:tcMar>
              <w:left w:w="108" w:type="dxa"/>
              <w:top w:w="0" w:type="dxa"/>
              <w:right w:w="108" w:type="dxa"/>
              <w:bottom w:w="0" w:type="dxa"/>
            </w:tcMar>
            <w:vAlign w:val="bottom"/>
            <w:hideMark/>
          </w:tcPr>
          <w:p>
            <w:pPr>
              <w:ind w:right="0" w:left="0"/>
              <w:rPr>
                <w:sz w:val="24"/>
              </w:rPr>
            </w:pP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single" w:color="000000" w:sz="8" w:space="0"/>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КОДЫ</w:t>
            </w:r>
          </w:p>
        </w:tc>
      </w:tr>
      <w:tr>
        <w:trPr>
          <w:trHeight w:val="282"/>
        </w:trPr>
        <w:tc>
          <w:tcPr>
            <w:tcW w:w="0" w:type="auto"/>
            <w:noWrap/>
            <w:tcMar>
              <w:left w:w="108" w:type="dxa"/>
              <w:top w:w="0" w:type="dxa"/>
              <w:right w:w="108" w:type="dxa"/>
              <w:bottom w:w="0" w:type="dxa"/>
            </w:tcMar>
            <w:vAlign w:val="bottom"/>
            <w:hideMark/>
          </w:tcPr>
          <w:p>
            <w:pPr>
              <w:ind w:right="0" w:left="0"/>
              <w:rPr>
                <w:sz w:val="24"/>
              </w:rPr>
            </w:pPr>
          </w:p>
        </w:tc>
        <w:tc>
          <w:tcPr>
            <w:tcW w:w="0" w:type="auto"/>
            <w:gridSpan w:val="2"/>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Форма по ОКУД</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0503160</w:t>
            </w:r>
          </w:p>
        </w:tc>
      </w:tr>
      <w:tr>
        <w:trPr>
          <w:trHeight w:val="282"/>
        </w:trPr>
        <w:tc>
          <w:tcPr>
            <w:tcW w:w="0" w:type="auto"/>
            <w:gridSpan w:val="2"/>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                          на   1 января 2026 г.</w:t>
            </w: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 Дата</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01.01.2026</w:t>
            </w:r>
          </w:p>
        </w:tc>
      </w:tr>
      <w:tr>
        <w:trPr>
          <w:trHeight w:val="300"/>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Главный распорядитель, распорядитель,</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Код субъекта бюджетной отчетности</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получатель бюджетных средств, главный администратор,   </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администратор доходов бюджета,</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spacing w:after="0" w:before="0" w:line="195" w:lineRule="atLeast"/>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по ОКПО</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главный администратор, администратор </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single" w:color="000000" w:sz="8" w:space="0"/>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администратор источников финансирования</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c>
          <w:tcPr>
            <w:tcW w:w="0" w:type="auto"/>
            <w:gridSpan w:val="2"/>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дефицита бюджета </w:t>
            </w:r>
            <w:r>
              <w:rPr>
                <w:rFonts w:ascii="Times New Roman" w:hAnsi="Times New Roman" w:eastAsia="Times New Roman" w:cs="Times New Roman"/>
                <w:sz w:val="18"/>
                <w:szCs w:val="18"/>
                <w:u w:val="single"/>
              </w:rPr>
              <w:t xml:space="preserve">Территориальный фонд обязательного медицинского страхования Еврейской автономной области</w:t>
            </w:r>
            <w:r>
              <w:rPr>
                <w:rFonts w:ascii="Times New Roman" w:hAnsi="Times New Roman" w:eastAsia="Times New Roman" w:cs="Times New Roman"/>
                <w:sz w:val="18"/>
                <w:szCs w:val="18"/>
              </w:rPr>
              <w:t xml:space="preserve">         </w:t>
            </w:r>
          </w:p>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4"/>
                <w:szCs w:val="24"/>
              </w:rPr>
              <w:t xml:space="preserve"> </w:t>
            </w: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Глава по БК</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395</w:t>
            </w:r>
          </w:p>
        </w:tc>
      </w:tr>
      <w:tr>
        <w:trPr>
          <w:trHeight w:val="280"/>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Наименование бюджета </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210"/>
        </w:trPr>
        <w:tc>
          <w:tcPr>
            <w:tcW w:w="0" w:type="auto"/>
            <w:gridSpan w:val="2"/>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(публично-правового образования) </w:t>
            </w:r>
            <w:r>
              <w:rPr>
                <w:rFonts w:ascii="Times New Roman" w:hAnsi="Times New Roman" w:eastAsia="Times New Roman" w:cs="Times New Roman"/>
                <w:sz w:val="18"/>
                <w:szCs w:val="18"/>
                <w:u w:val="single"/>
              </w:rPr>
              <w:t xml:space="preserve">Бюджет территориального фонда ОМС</w:t>
            </w:r>
            <w:r>
              <w:rPr>
                <w:rFonts w:ascii="Times New Roman" w:hAnsi="Times New Roman" w:eastAsia="Times New Roman" w:cs="Times New Roman"/>
                <w:sz w:val="18"/>
                <w:szCs w:val="18"/>
              </w:rPr>
              <w:t xml:space="preserve"> </w:t>
            </w:r>
          </w:p>
          <w:p>
            <w:pPr>
              <w:spacing w:after="0" w:before="0" w:line="210"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   </w:t>
            </w:r>
          </w:p>
        </w:tc>
        <w:tc>
          <w:tcPr>
            <w:tcW w:w="1500" w:type="dxa"/>
            <w:noWrap/>
            <w:tcMar>
              <w:left w:w="108" w:type="dxa"/>
              <w:top w:w="0" w:type="dxa"/>
              <w:right w:w="108" w:type="dxa"/>
              <w:bottom w:w="0" w:type="dxa"/>
            </w:tcMar>
            <w:vAlign w:val="bottom"/>
            <w:hideMark/>
          </w:tcPr>
          <w:p>
            <w:pPr>
              <w:spacing w:after="0" w:before="0" w:line="210" w:lineRule="atLeast"/>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по ОКТМО</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spacing w:after="0" w:before="0" w:line="210" w:lineRule="atLeast"/>
              <w:ind w:right="0" w:left="0"/>
              <w:jc w:val="center"/>
              <w:rPr>
                <w:rFonts w:ascii="Times New Roman" w:hAnsi="Times New Roman" w:eastAsia="Times New Roman" w:cs="Times New Roman"/>
                <w:sz w:val="24"/>
              </w:rPr>
            </w:pPr>
            <w:r>
              <w:rPr>
                <w:rFonts w:ascii="Times New Roman" w:hAnsi="Times New Roman" w:eastAsia="Times New Roman" w:cs="Times New Roman"/>
                <w:sz w:val="15"/>
                <w:szCs w:val="15"/>
              </w:rPr>
              <w:t xml:space="preserve">99701000</w:t>
            </w:r>
          </w:p>
        </w:tc>
      </w:tr>
      <w:tr>
        <w:trPr>
          <w:trHeight w:val="315"/>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Периодичность:    месячная, квартальная, годовая</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single" w:color="000000" w:sz="8" w:space="0"/>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282"/>
        </w:trPr>
        <w:tc>
          <w:tcPr>
            <w:tcW w:w="0" w:type="auto"/>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Единица измерения: руб.</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spacing w:after="240" w:afterAutospacing="1" w:before="240" w:beforeAutospacing="1"/>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    по ОКЕИ</w:t>
            </w:r>
          </w:p>
        </w:tc>
        <w:tc>
          <w:tcPr>
            <w:tcW w:w="2461" w:type="dxa"/>
            <w:tcBorders>
              <w:top w:val="single" w:color="000000" w:sz="8" w:space="0"/>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383</w:t>
            </w:r>
          </w:p>
        </w:tc>
      </w:tr>
      <w:tr>
        <w:trPr>
          <w:trHeight w:val="282"/>
        </w:trPr>
        <w:tc>
          <w:tcPr>
            <w:tcW w:w="0" w:type="auto"/>
            <w:noWrap/>
            <w:tcMar>
              <w:left w:w="108" w:type="dxa"/>
              <w:top w:w="0" w:type="dxa"/>
              <w:right w:w="108" w:type="dxa"/>
              <w:bottom w:w="0" w:type="dxa"/>
            </w:tcMar>
            <w:vAlign w:val="bottom"/>
            <w:hideMark/>
          </w:tcPr>
          <w:p>
            <w:pPr>
              <w:ind w:right="0" w:left="0"/>
              <w:rPr>
                <w:sz w:val="24"/>
              </w:rPr>
            </w:pP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noWrap/>
            <w:tcMar>
              <w:left w:w="108" w:type="dxa"/>
              <w:top w:w="0" w:type="dxa"/>
              <w:right w:w="108" w:type="dxa"/>
              <w:bottom w:w="0" w:type="dxa"/>
            </w:tcMar>
            <w:vAlign w:val="bottom"/>
            <w:hideMark/>
          </w:tcPr>
          <w:p>
            <w:pPr>
              <w:ind w:right="0" w:left="0"/>
              <w:rPr>
                <w:sz w:val="24"/>
              </w:rPr>
            </w:pPr>
          </w:p>
        </w:tc>
      </w:tr>
      <w:tr>
        <w:trPr>
          <w:trHeight w:val="282"/>
        </w:trPr>
        <w:tc>
          <w:tcPr>
            <w:tcW w:w="0" w:type="auto"/>
            <w:gridSpan w:val="4"/>
            <w:noWrap/>
            <w:tcMar>
              <w:left w:w="108" w:type="dxa"/>
              <w:top w:w="0" w:type="dxa"/>
              <w:right w:w="108" w:type="dxa"/>
              <w:bottom w:w="0" w:type="dxa"/>
            </w:tcMar>
            <w:vAlign w:val="bottom"/>
            <w:hideMark/>
          </w:tcPr>
          <w:p>
            <w:pPr>
              <w:ind w:right="0" w:left="0"/>
              <w:rPr>
                <w:sz w:val="24"/>
              </w:rPr>
            </w:pPr>
          </w:p>
        </w:tc>
      </w:tr>
    </w:tbl>
    <w:p>
      <w:pPr>
        <w:rPr>
          <w:vanish/>
        </w:rPr>
      </w:pPr>
    </w:p>
    <w:tbl>
      <w:tblPr>
        <w:tblW w:w="0" w:type="auto"/>
        <w:tblCellSpacing w:w="0" w:type="dxa"/>
        <w:tblInd w:w="0"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autofit"/>
        <w:tblCellMar>
          <w:left w:w="0" w:type="dxa"/>
          <w:top w:w="0" w:type="dxa"/>
          <w:right w:w="0" w:type="dxa"/>
          <w:bottom w:w="0" w:type="dxa"/>
        </w:tblCellMar>
      </w:tblPr>
      <w:tblGrid/>
      <w:tr>
        <w:tc>
          <w:tcPr>
            <w:tcW w:w="1134" w:type="dxa"/>
            <w:tcBorders>
              <w:top w:val="none"/>
              <w:left w:val="none"/>
              <w:bottom w:val="none"/>
              <w:right w:val="none"/>
            </w:tcBorders>
            <w:tcMar>
              <w:left w:w="108" w:type="dxa"/>
              <w:top w:w="0" w:type="dxa"/>
              <w:right w:w="108" w:type="dxa"/>
              <w:bottom w:w="0" w:type="dxa"/>
            </w:tcMar>
            <w:vAlign w:val="center"/>
            <w:hideMark/>
          </w:tcPr>
          <w:p>
            <w:pPr>
              <w:pageBreakBefore w:val="true"/>
              <w:spacing w:after="0" w:before="0"/>
              <w:ind w:right="0" w:firstLine="0" w:left="0"/>
              <w:outlineLvl w:val="9"/>
              <w:rPr>
                <w:color w:val="000000"/>
              </w:rPr>
            </w:pPr>
            <w:r>
              <w:rPr>
                <w:rFonts w:ascii="Times New Roman" w:hAnsi="Times New Roman" w:eastAsia="Times New Roman" w:cs="Times New Roman"/>
                <w:color w:val="000000"/>
                <w:sz w:val="20"/>
                <w:szCs w:val="20"/>
              </w:rPr>
              <w:t xml:space="preserve"> </w:t>
            </w:r>
          </w:p>
        </w:tc>
      </w:tr>
    </w:tbl>
    <w:p>
      <w:pPr>
        <w:spacing w:after="0" w:before="0"/>
        <w:ind w:right="0" w:firstLine="0" w:left="0"/>
        <w:outlineLvl w:val="9"/>
        <w:rPr>
          <w:color w:val="000000"/>
        </w:rPr>
      </w:pPr>
      <w:r>
        <w:rPr>
          <w:rFonts w:ascii="Times New Roman" w:hAnsi="Times New Roman" w:eastAsia="Times New Roman" w:cs="Times New Roman"/>
          <w:color w:val="000000"/>
          <w:sz w:val="28"/>
          <w:szCs w:val="28"/>
        </w:rPr>
        <w:t xml:space="preserve">                                           </w:t>
      </w:r>
    </w:p>
    <w:p>
      <w:pPr>
        <w:spacing w:after="0" w:before="0"/>
        <w:ind w:right="0" w:firstLine="0" w:left="0"/>
        <w:outlineLvl w:val="9"/>
        <w:rPr>
          <w:color w:val="000000"/>
        </w:rPr>
      </w:pPr>
      <w:r>
        <w:rPr>
          <w:rFonts w:ascii="Times New Roman" w:hAnsi="Times New Roman" w:eastAsia="Times New Roman" w:cs="Times New Roman"/>
          <w:b/>
          <w:color w:val="000000"/>
          <w:sz w:val="28"/>
          <w:szCs w:val="28"/>
        </w:rPr>
        <w:t xml:space="preserve">                            Раздел 1. Организационная структура ТФОМС ЕАО</w:t>
      </w:r>
    </w:p>
    <w:p>
      <w:pPr>
        <w:spacing w:after="0" w:before="0"/>
        <w:ind w:right="0" w:firstLine="0" w:left="0"/>
        <w:outlineLvl w:val="9"/>
        <w:rPr>
          <w:color w:val="000000"/>
        </w:rPr>
      </w:pPr>
      <w:r>
        <w:rPr>
          <w:color w:val="000000"/>
        </w:rPr>
        <w:t xml:space="preserve"> </w:t>
      </w:r>
    </w:p>
    <w:p>
      <w:pPr>
        <w:spacing w:after="0" w:before="0"/>
        <w:ind w:right="0" w:firstLine="0" w:left="0"/>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Территориальный фонд обязательного медицинского страхования ЕАО, далее ТФОМС ЕАО является самостоятельной некоммерческой организацией, созданной для реализации государственной политики в сфере обязательного медицинского страхования на территории Еврейской автономной области.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ИНН 7900000662</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КПП 790101001</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ОКВЭД 84.30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ОГРН 1027900513585</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ОКПО 26250786</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ОКАТО 994001000000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ОКФС 13</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ОКОПФ 75203</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Юридический адрес: 79000, ЕАО, г. Биробиджан, пр. 60-летия СССР, 24.</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Бюджетные полномочия  в отчетном периоде  не изменялись.</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Вид деятельности  ТФОМС ЕАО  в 2025 году не изменился.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Руководство деятельностью ТФОМС ЕАО осуществлялось директором Писаревой Ольгой Юрьевной, назначенной на должность Распоряжением губернатора Еврейской автономной области от 17 октября 2016 года  № 309-рп «О назначении на должность Писаревой О.Ю.». Назначение Писаревой О.Ю. на должность директора территориального фонда обязательного медицинского страхования Еврейской автономной области согласовано с Федеральным фондом обязательного медицинского страхования (от 26.09.2016  № 9047/60/4).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Распоряжением правительства Еврейской автономной области от 05.02.2020 № 33-рп (ред. от 26.01.2021 № 18-рп, от 16.06.2021  № 183-рп, от 17.12.2021 №431-рп, от 11.12.2024 № 476-рп) «Об утверждении состава правления территориального фонда обязательного медицинского страхования Еврейской автономной области» утвержден состав правления территориального фонда обязательного медицинского страхования Еврейской автономной области.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соответствии с Положением о территориальном фонде обязательного медицинского страхования Еврейской автономной области правление ТФОМС ЕАО определяет основные направления деятельности фонда и осуществляет текущий контроль за его деятельностью.</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ТФОМС ЕАО самостоятельно осуществляет ведение бухгалтерского (бюджетного) учета.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Руководство финансово-хозяйственной деятельностью в проверяемом периоде с правом первой и второй подписи осуществляли:</w:t>
      </w:r>
    </w:p>
    <w:p>
      <w:pPr>
        <w:numPr>
          <w:ilvl w:val="0"/>
          <w:numId w:val="1"/>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с правом первой подписи:  директор Писарева Ольга Юрьевна; заместитель директора – начальник УООМС Миронова Наталья Владимировна; начальник финансово-экономического управления Селянина Татьяна Васильевна;</w:t>
      </w:r>
    </w:p>
    <w:p>
      <w:pPr>
        <w:numPr>
          <w:ilvl w:val="0"/>
          <w:numId w:val="1"/>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с правом второй подписи: заместитель  директора – начальник УБУиО - главный бухгалтер Беседина Людмила Арнольдовна; заместитель начальника УБУ и О - заместитель главного бухгалтера Силиванова Ольга Валерьевна, заместитель начальника управления-начальник отдела Дербенева Светлана Николаевна.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Территориальный фонд обязательного медицинского страхования Еврейской автономной области создан решением Малого Совета областного Совета народных депутатов ЕАО от 26.03.93г. № 51.</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Фонд не имеет подведомственных или обособленных учреждений (филиалов).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Имущество ТФОМС ЕАО является государственной  собственностью Еврейской автономной области  и закреплено за  ним на праве оперативного управления.</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Фонд наделен правами администратора доходов бюджета ТФОМС ЕАО и ФФОМС согласно приказу ТФОМС ЕАО от 16.08.2021 №146-од.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Фонду открыты:</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лицевой счет получателя бюджетных средств в УФК по ЕАО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03785800010;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лицевой счет администратора доходов бюджета  №04785800010.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лицевой счет для учета операций со средствами, поступающими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во временное распоряжение № 05785800010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Банковских счетов в кредитных учреждениях фонд не имеет.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Бюджетный учет, составление и представление отчетности осуществляется управлением бухгалтерского учета и отчетности, которое возглавляет заместитель директора- начальник УБУ и О – главный бухгалтер Беседина Л.А.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Фонд осуществляет свою деятельность в соответствии с Положением о территориальном фонде обязательного медицинского страхования, утвержденным Постановлением правительства ЕАО от 03.04.2012 № 139-пп (ред. от 03.09.2013 № 413-пп, от 12.12.2017 № 496-пп, от 03.12.2021 №490-пп);</w:t>
      </w:r>
      <w:r>
        <w:rPr>
          <w:rFonts w:ascii="Calibri" w:hAnsi="Calibri" w:eastAsia="Calibri" w:cs="Calibri"/>
          <w:color w:val="000000"/>
          <w:sz w:val="22"/>
          <w:szCs w:val="22"/>
        </w:rPr>
        <w:t xml:space="preserve"> </w:t>
      </w:r>
      <w:r>
        <w:rPr>
          <w:rFonts w:ascii="Times New Roman" w:hAnsi="Times New Roman" w:eastAsia="Times New Roman" w:cs="Times New Roman"/>
          <w:color w:val="000000"/>
          <w:sz w:val="28"/>
          <w:szCs w:val="28"/>
        </w:rPr>
        <w:t xml:space="preserve">Положением о территориальном фонде обязательного медицинского страхования, утвержденным Постановлением правительства ЕАО от 06.06.2024 № 237-пп.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 системе обязательного медицинского страхования области на 01.01.2026 работает 30 медицинских организаций, в том числе 14 частной и  1 иной  форм собственности.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 системе обязательного медицинского страхования ЕАО работают две страховые компании: филиал ООО «Капитал Медицинское Страхование» в Еврейской автономной области, Дирекция Еврейской АО Хабаровского филиала АО «Страховая компания «СОГАЗ-Мед», которые осуществляют свою деятельность в соответствии с договорами и лицензиями, предоставляющими право осуществлять обязательное медицинское страхование на территории ЕАО.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Штатная численность работников по штатному расписанию утверждена в количестве 57 единиц.</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Times New Roman" w:hAnsi="Times New Roman" w:eastAsia="Times New Roman" w:cs="Times New Roman"/>
          <w:b/>
          <w:color w:val="000000"/>
          <w:sz w:val="28"/>
          <w:szCs w:val="28"/>
        </w:rPr>
        <w:t xml:space="preserve">                      </w:t>
      </w:r>
    </w:p>
    <w:p>
      <w:pPr>
        <w:spacing w:after="0" w:before="0"/>
        <w:ind w:right="0" w:firstLine="0" w:left="0"/>
        <w:jc w:val="both"/>
        <w:outlineLvl w:val="9"/>
        <w:rPr>
          <w:color w:val="000000"/>
        </w:rPr>
      </w:pPr>
      <w:r>
        <w:rPr>
          <w:rFonts w:ascii="Times New Roman" w:hAnsi="Times New Roman" w:eastAsia="Times New Roman" w:cs="Times New Roman"/>
          <w:b/>
          <w:color w:val="000000"/>
          <w:sz w:val="28"/>
          <w:szCs w:val="28"/>
        </w:rPr>
        <w:t xml:space="preserve">                              Раздел 2. Результаты деятельности ТФОМС ЕАО</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Структурные подразделения ТФОМС ЕАО обеспечены исходя из потребности:</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1. машины вычислительные, оборудование:</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ПЭВМ в количестве 80 штук (с серверами и СХД).  Техническое состояние хорошее;</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копировальная техника в количестве 36 штук. Техническое состояние хорошее. Копировальная техника Lexmark на забалансе в количестве 2 шт., по причине отсутствия расходных материалов в продаже.</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2. транспортные средства: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ТФОМС ЕАО обеспечен автомобилями. Техническое состояние автомобилей Nissan Serena, государственный номерной знак А037АА79, UAZ Patriot, государственный номерной знак С041КР79, исправное.</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Основными мероприятиями по поддержанию технического состояния  основных средств на надлежащем уровне и обеспечению их сохранности являются правильная эксплуатация и бережное отношение персонала к имуществу фонда.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 соответствии с требованиями Федерального закона от 05.04.2013 №44-ФЗ «О контрактной системе в сфере закупок товаров, работ, услуг для обеспечения государственных и муниципальных нужд» и в целях эффективного использования средств бюджета территориального государственного внебюджетного фонда в 2025 году были проведены следующие процедуры размещения заказов:</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картриджей для оргтехники.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235 045 (Двести тридцать пять тысяч сорок пять) рублей 91 копейка. В результате размещения заказа было подано 9 (девять)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162 056 (Сто шестьдесят две тысячи пятьдесят шесть) рублей 48 копеек. Экономия денежных средств составила 72 989 (Семьдесят две тысячи девятьсот восемьдесят девять) рублей 43 копейки;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автомобильного бензина АИ-92 на второе полугодие 2025 года.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Максимальная цена контракта была установлена в размере 122 328 (Сто двадцать две тысячи триста двадцать восемь)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r>
        <w:rPr>
          <w:rFonts w:ascii="Times New Roman" w:hAnsi="Times New Roman" w:eastAsia="Times New Roman" w:cs="Times New Roman"/>
          <w:color w:val="000000"/>
          <w:sz w:val="28"/>
          <w:szCs w:val="28"/>
        </w:rPr>
        <w:t xml:space="preserve">аукцион в электронной форме на оказание образовательных услуг по дополнительной профессиональной программе повышения квалификации «Администрирование PostgreSQL 16. Базовый курс.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55 273 (Пятьдесят пять тысяч двести семьдесят три) рубля 34 копейки. В результате размещения заказа было подано 6 (шесть)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33 557 (Тридцать три тысячи пятьсот пятьдесят семь) рублей 81 копейка. Экономия денежных средств составила 21 715 (Двадцать одна тысяча семьсот пятнадцать) рублей 53 копейки;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и монтаж кондиционера с зимним комплектом.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305 722 (Триста пять тысяч семьсот двадцать два) рубля 66 копеек. В результате размещения заказа было подано 4 (четыре)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120 760 (Сто двадцать тысяч семьсот шестьдесят) рублей 75 копеек. Экономия денежных средств составила 184 961 (Сто восемьдесят четыре тысячи девятьсот шестьдесят один) рубль 91 копейка;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сертификатов активации сервиса совместной технической поддержки продуктов ViPNet.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263 002 (Двести шестьдесят три тысячи два) рубля 73 копейки.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предоставлению сертификата активации сервиса обновления баз решающих правил ПАК ViPNet IDS NS100 3.x.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55 100 (Пятьдесят пять тысяч сто)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продлению лицензий на право использования программного обеспечения RedCheck.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32 100 (Тридцать две тысячи сто) рублей 00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30 495 (Тридцать тысяч четыреста девяносто пять) рублей 00 копейки. Экономия денежных средств составила 1 605 (Одна тысяча шестьсот пять) рублей 00 копеек;</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продлению лицензий на право использовать компьютерное программное обеспечение (Kaspersky Endpoint Security).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153 086 (Сто пятьдесят три восемьдесят шесть) рублей 06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151 903 (Сто пятьдесят одна тысяча девятьсот три) рубля 10 копеек. Экономия денежных средств составила 1 182 (Одна тысяча сто восемьдесят два) рубля 96 копеек;</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сертификата активации сервиса прямой технической поддержки для ПАК «Соболь».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24 004 (Двадцать четыре тысячи четыре) рубля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тысяч пятьсот сорок восемь) рублей 93 копейки;  </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поставку МФУ.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57 690 (Пятьдесят семь тысяч шестьсот девяносто) рублей 00 копеек. В результате размещения заказа было подано 2 (две)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57 401 (Пятьдесят семь тысяч четыреста один) рубль 55 копеек. Экономия денежных средств составила 288 (Двести восемьдесят восемь) рублей 45 копеек;</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предоставлению сертификатов технической поддержки операционной системы специального назначения Astra Linux Special Edition.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142 366 (Сто сорок две тысячи триста шестьдесят шесть) рублей 67 копеек. В результате размещения заказа было подано 6 (шесть)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116 576 (Сто шестнадцать тысяч пятьсот семьдесят шесть) рублей 47 копеек. Экономия денежных средств составила 25 790 (Двадцать пять тысяч семьсот девяносто) рублей 20 копеек;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адаптации и сопровождению экземпляров Систем Консультант Плюс на 2026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547 163 (Пятьсот сорок семь тысяч сто шестьдесят три) рубля 16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сопровождению программного продукта «Электронная медицина. Экспертиза ОМС» на 2026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580 256 (Пятьсот восемьдесят тысяч двести пятьдесят шесть) рублей 00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сопровождению программного продукта Информационная система «Межтерриториальные расчеты» на 2026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580 256 (Пятьсот восемьдесят тысяч двести пятьдесят шесть) рублей 00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автомобильного бензина АИ-92 на 1-й квартал 2026 года.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Максимальная цена контракта была установлена в размере 71 370 (Семьдесят одна тысяча триста семьдесят)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январе 2025 года были заключены контракты с единственными поставщиками на 2025 год в соответствии с пунктами 1, 2, 8,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Сотрудники ТФОМС ЕАО постоянно проходят повышение квалификации. В 2025 году прошли обучение за пределами территории Еврейской автономной области следующие сотрудники ТФОМС ЕАО: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1. Заместитель начальника УБУиО – заместитель главного бухгалтера и главный специалист-эксперт отдела бухгалтерского учета и отчетности в ООО «Деловое образование» по теме: «Учет нефинансовых активов госсектора в 2025 году  с учетом особенностей применения форм ЭДО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2. Главный специалист-эксперт отдела контроля качества медицинской помощи в ООО «ПромСтандарт» по теме: «Организация и проведение медико-экономических экспертиз»;</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3. Заместитель начальника УБУиО – заместитель главного бухгалтера и главный специалист-эксперт отдела бухгалтерского учета и отчетности в АНОО ДПО «Тихоокеанская высшая школа экономики и управления» по теме: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«Электронный документооборот в учреждениях госсектора в 2025 году. Сложные и актуальные вопросы отчетности учреждений за полугодие»;</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4. Главный специалист-эксперт отдела информационного обеспечения в Учебном центре «РДТЕХ» по курсу «Администрирование PostgreSQL 13. Базовый курс»;</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5. Заместитель начальника управления – начальник отдела исполнения бюджета и консультант отдела бухгалтерского учета и отчетности в АНОО ДПО «Тихоокеанская высшая школа экономики и управления» по теме: «Сложные вопросы годовой отчетности. Изменения в учете учреждений 2025 году»;</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6. Заместитель директора-начальник УБУиО –главный бухгалтер в Учебный центр "Бюджет" по теме «Трансформация методологии учёта гос. Финансов с 2026 года –новые стандарты и цифровизация процессов».</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Всего за 2025 год прошли обучение 6 специалистов.</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b/>
          <w:color w:val="000000"/>
          <w:sz w:val="28"/>
          <w:szCs w:val="28"/>
        </w:rPr>
        <w:t xml:space="preserve">3. Анализ отчета об исполнении бюджета ТФОМС ЕАО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Реализация Федерального закона Российской федерации от 29.11.2010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326-ФЗ «Об обязательном медицинском страховании в Российской Федерации» на территории Еврейской автономной области проводится в соответствии с постановлением Правительства Российской Федерации от 27.12.2024 № 1940</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«О Программе государственных гарантий бесплатного оказания гражданам медицинской помощи на 2025 год и на плановый период 2026 и 2027 годов», постановлением правительства Еврейской автономной области от 13.02.2025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36-пп «Об утверждении Территориальной программы государственных гарантий бесплатного оказания гражданам на территории Еврейской автономной области медицинской помощи на 2025 год и на плановый период 2026 и 2027 годов».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Законом области от 17.12.2024 № 483-ОЗ «О бюджете территориального фонда обязательного медицинского страхования Еврейской автономной области на 2025 год и плановый период 2026 и 2027 годов» утверждены источники и размеры средств на выполнение территориальной программы обязательного медицинского страхования в сумме 5 871 961 870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До всех медицинских организаций доведены объемы медицинской помощи и размеры финансирования на 2025 год.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На 2025 год бюджет ТФОМС ЕАО утвержден по доходам в сумме 5 815 342 350 рублей, по расходам – 6 168 937 970 рубля.</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Фактическое исполнение бюджета ТФОМС ЕАО по доходам составило 5 829 795 978,08 рублей или 100,25 % от утвержденных бюджетных назначений. Фактическое исполнение бюджета ТФОМС ЕАО по расходам составило 5 677 265 228,32 рублей или 91,78 % от бюджетных назначений.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Отклонения от утвержденных годовых бюджетных назначений обусловлены следующими причинами.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0113 7820050930 отклонение составило 215 675,90 рублей – экономия по смете АУП ТФОМС, в том числе:</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141 «Фонд оплаты труда государственных внебюджетных фондов» – 62 653,88 рубля в связи с открытием листа нетрудоспособности директору фонда ТФОМС ЕАО после проведенных расчетов для сотрудников ТФОМС ЕАО.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149 «Взносы по обязательному социальному страхованию на выплаты по оплате труда работников и иные выплаты работникам государственных внебюджетных фондов» – 33 664,94 рубля в связи с открытием листа нетрудоспособности директору фонда ТФОМС ЕАО после проведенных расчетов для сотрудников ТФОМС ЕАО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242 «Закупка товаров, работ, услуг в сфере информационно-коммуникационных технологий» – 4 258,34 рублей в связи с фактическим исполнением договоров на оплату услуг связи.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244 «Прочая закупка товаров, работ и услуг» – 5 038,83 рублей в связи с экономией расходов на оплату труда и начислений на оплату труда несписочного состава – 1 178,51 рублей согласно фактическому количеству экспертиз по претензиям и экономией по расходам на приобретение горюче-смазочных материалов – 3 860,32 рублей согласно фактическому потреблению горюче-смазочных материалов.</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247 «Закупка энергетических ресурсов» – 106 536,82 рублей в связи с фактическим исполнением коммунальных услуг.</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КВР 850 «Уплата налогов, сборов и иных платежей» – 3 523,00 рубля, налоги на имущество и транспортный налог будут уплачены в январе 2026 года.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7810050930 000 отклонение составило 482 255 286,77 рублей. Причиной использования не в полном объеме в 2025 году субвенции является финансирование страховых медицинских организаций на финансовое обеспечение обязательного медицинского страхования за декабрь 2025 года в размере заявки на получение целевых средств на авансирование медицинской помощи в сумме заявок медицинских организаций, но не более одной двенадцатой объема годового финансового обеспечения. Окончательный расчет за оказанную в декабре 2025 года медицинскую помощь осуществляется в следующем месяце, то есть в январе 2026 года.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7810052580 000 отклонение составило 1 528,55 рублей. Расходование средств по данному направлению расходов бюджета территориального фонда осуществлялось согласно предъявленным от медицинских организаций заявкам на получение средств из бюджета территориального фонда обязательного медицинского страхования на осуществление денежных выплат стимулирующего характера медицинским работника за выявление онкологических заболеваний в ходе проведения диспансеризации и профилактических медицинских осмотров населения</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7810070930 000 отклонение составило 9 552 359,65 рублей. Расходование средств по данному направлению расходов бюджета территориального фонда осуществлялось в соответствии с планом мероприятий, утвержденным департаментом здравоохранения. Часть средств не освоена медицинскими организациями по причине длительности проведения конкурсных процедур. Все заявки, представленные медицинскими организациями, оплачены.</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Средства, поступившие на формирование нормированного страхового запаса для финансового обеспечения мероприятий, но не освоенные в 2025 году, направлены территориальным фондом обязательного медицинского страхования на формирование нормированного страхового запаса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в 2026 году.</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7810070940 323 отклонение составило 12 217 564,24 рубля. Сократились объемы медицинской помощи, оказанной медицинскими организациями области лицам, застрахованным в других субъектах. Оплата медицинской помощи произведена в полном объеме согласно представленным реестрам.</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7810070950 323 отклонение составило 1 341 035,55 рублей. Объем средств от начисленных штрафов, пеней и иных источников, поступивших для осуществления расходов по данному направлению, ниже запланированного.</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7810070961 323 отклонение составило 2 765 772,73 рубля. В декабре 2025 года произведено авансирование медицинских организаций согласно заявкам страховых медицинских организаций. Остаток средств межбюджетного трансферта из бюджета субъекта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образовавшийся по состоянию на 01.01.2026, будет подтвержден и направлен на завершение расчетов с медицинскими организациями за медицинскую помощь, оказанную в декабре 2025 года.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На конец отчетного финансового года ТФОМС ЕАО не использован остаток средств на лицевом счете в УФК по ЕАО в размере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506 047 903,15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Из них: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- 482 470 962,67рублей – субвенция на финансовое обеспечение организации обязательного медицинского страхования на территориях субъектов РФ. В декабре 2025  года произведено авансирование медицинских организаций в размере не более 95 % от среднемесячного объема средств, направляемых на оплату медицинской помощи. Остаток средств субвенции на финансовое обеспечение организации обязательного медицинского страхования планируется направить на завершение расчетов с медицинскими организациями за медицинские услуги, выполненные в декабре 2025 года. В соответствии с письмом ФФОМС от 24.12.2025 №00-10-21-1-06/21604 возможно использование остатков межбюджетных трансфертов, имеющих целевое назначение, не использованных по состоянию на 01.01.2026, при подтверждении потребности в них.</w:t>
      </w:r>
    </w:p>
    <w:p>
      <w:pPr>
        <w:numPr>
          <w:ilvl w:val="0"/>
          <w:numId w:val="2"/>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20,29  рублей – остаток субвенции, сформированной в составе нормированного страхового запаса ТФОМС ЕАО для софинансирования расходов медицинских организаций на оплату труда врачей  и среднего медицинского персонала.  </w:t>
      </w:r>
    </w:p>
    <w:p>
      <w:pPr>
        <w:numPr>
          <w:ilvl w:val="0"/>
          <w:numId w:val="2"/>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1 528,55 рублей  – остаток  межбюджетного трансферта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pPr>
        <w:numPr>
          <w:ilvl w:val="0"/>
          <w:numId w:val="2"/>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2 765 772,73 рублей – остаток межбюджетного трансферта из бюджета субъекта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w:t>
      </w:r>
    </w:p>
    <w:p>
      <w:pPr>
        <w:numPr>
          <w:ilvl w:val="0"/>
          <w:numId w:val="2"/>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8 825 958,29 рублей  – средства из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Нормированный страховой запас был сформирован в сумме 33 530 104,13 рублей. ТФОМС ЕАО предоставлены средства нормированного страхового запаса медицинским организациям, участвующим в реализации территориальной программы обязательного медицинского страхования, на основании заключенного соглашения о финансовом обеспечении мероприятий в размере 24 704 145,84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Использование средств для финансового обеспечения мероприятий осуществлялось только при соблюдении условий, установленных Правилами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работников по программам повышения квалификации, а также по приобретению и проведению ремонта медицинского оборудования, утвержденными постановлением правительства РФ от 26.02.2021 №273.</w:t>
      </w:r>
    </w:p>
    <w:p>
      <w:pPr>
        <w:numPr>
          <w:ilvl w:val="0"/>
          <w:numId w:val="3"/>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11 795 066,42 рублей – остаток средств нормированного страхового запаса поступивших на расчет за медицинскую помощь, оказанную застрахованным лицам за пределами территории субъекта РФ, в котором выдан полис обязательного медицинского страхования. </w:t>
      </w:r>
    </w:p>
    <w:p>
      <w:pPr>
        <w:numPr>
          <w:ilvl w:val="0"/>
          <w:numId w:val="3"/>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182 020,85 рублей – остаток штрафов, санкций поступающих от медицинских организаций.</w:t>
      </w:r>
    </w:p>
    <w:p>
      <w:pPr>
        <w:numPr>
          <w:ilvl w:val="0"/>
          <w:numId w:val="3"/>
        </w:numPr>
        <w:spacing w:after="0" w:before="0"/>
        <w:ind w:right="0" w:hanging="360" w:left="720"/>
        <w:jc w:val="both"/>
        <w:outlineLvl w:val="9"/>
        <w:rPr>
          <w:color w:val="000000"/>
        </w:rPr>
      </w:pPr>
      <w:r>
        <w:rPr>
          <w:rFonts w:ascii="Times New Roman" w:hAnsi="Times New Roman" w:eastAsia="Times New Roman" w:cs="Times New Roman"/>
          <w:color w:val="000000"/>
          <w:sz w:val="28"/>
          <w:szCs w:val="28"/>
        </w:rPr>
        <w:t xml:space="preserve">6 573,35 рублей -  возмещения ущерба, иски.</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imes New Roman" w:hAnsi="Times New Roman" w:eastAsia="Times New Roman" w:cs="Times New Roman"/>
          <w:b/>
          <w:color w:val="000000"/>
          <w:sz w:val="28"/>
          <w:szCs w:val="28"/>
        </w:rPr>
        <w:t xml:space="preserve">           Раздел 4. Анализ показателей финансовой отчетности ТФОМС ЕАО</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Балансовая   стоимость   основных   средств   на   конец   2025  года составила</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17 102 916,58 рублей и по сравнению с предшествующим 2024  годом увеличилась на 4 845,54рублей.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Балансовая  стоимость  материальных  запасов на конец 2025 года составила</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908 218,69  рублей.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Дебиторская задолженность ТФОМС ЕАО (ф. 0503169) на 1 января 2026 года составила в сумме 5 098 387 586,10 рублей, из них  просроченная дебиторская задолженность – 34 746 352,42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Просроченная дебиторская задолженность по счету 120545000 «Расчеты по прочим доходам от сумм принудительного изъятия» составила в сумме         34 746 007,93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штрафные санкции за нецелевое использование бюджетных средств в сумме 724 637,11 рублей отражены перед: ОГБУЗ «Инфекционная больница» - 104 921,73 рублей, ОГБУЗ «Областная больница» 424 389,76 рублей,  ОГБУЗ «Облученская РБ» - 61 166,23 рублей, ОГБУЗ «Теплоозерская ЦРБ» - 54 343,24 рублей, ООО ДЦ «Лекарь» - 79 816,15 рублей. Причиной неоплаты штрафных санкций является приостановка операций по всем лицевым счетам в ОГБУЗ «Областная больница», ОГБУЗ «Облученская РБ», ОГБУЗ «Инфекционная больница», ОГБУЗ «Теплоозерская ЦРБ»   и отсутствие в медицинских организациях денежных средств. ООО ДЦ «Лекарь» (правопреемник ООО «Больница Святого Великомученика и Целителя Пантелеймона») подал апелляционную жалобу в Арбитражный суд ЕАО. Арбитражный апелляционный суд отказал в пересмотре дела. В медицинскую организацию направлено письмо о сроках погашения задолженности.</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нецелевое использование средств обязательного медицинского страхования в сумме 34 021 370,82 рублей отражены перед:</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ОГБУЗ «Инфекционная больница» в сумме 11 510 165,38 рублей. У медицинской организации нет возможности сразу погасить всю задолженность, погашают задолженность частями за счет собственных средств.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ОГБУЗ «Областная больница» в сумме 20 386 174,00 рублей. У медицинской организации нет возможности погасить задолженность по причине приостановки операций по лицевым счетам.</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ОГБУЗ «Облученская РБ» в сумме 487 490,46 рублей. У медицинской организации нет возможности погасить задолженность по причине приостановки операций по лицевым счетам.</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ООО «Лечебно диагностический центр «Лотос ЦИ» в сумме 1 038 198,23 рублей. </w:t>
      </w:r>
      <w:r>
        <w:rPr>
          <w:rFonts w:ascii="Times New Roman" w:hAnsi="Times New Roman" w:eastAsia="Times New Roman" w:cs="Times New Roman"/>
          <w:color w:val="000000"/>
          <w:sz w:val="28"/>
          <w:szCs w:val="28"/>
        </w:rPr>
        <w:t xml:space="preserve">На основании решения Арбитражного суда ЕАО в медицинскую организацию направлено письмо о погашении задолженности.</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ООО Диагностический центр «Лекарь» (правопреемник ООО «Больница Святого Великомученика и Целителя Пантелеймона») в сумме 599 342,75 рублей. Медицинская организация не согласилась с решением Арбитражного суда ЕАО и подала апелляционную жалобу в суд. Арбитражный апелляционный суд отказал в пересмотре дела. В медицинскую организацию направлено письмо о сроках погашения задолженности.В ответ на запрос ООО Диагностический центр «Лекарь» обязался погасить задолженность до 16 марта 2026 года.</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Дебиторская задолженность (ф. 0503169)  по счету 120551000 «Расчеты по поступлениям от других бюджетов бюджетной системы Российской Федерации» наконец 2025 года составила – 5 061 984 481,88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Задолженность образовалась в связи с начислением доходов будущих периодов от предоставления межбюджетного трансферта из бюджета Федерального фонда обязательного медицинского страхования:</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субвенция в сумме 5 047 649 700,00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софинансирование расходов медицинских организаций на оплату труда врачей и среднего медперсонала в сумме 14 053 900,00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денежные выплаты стимулирующего характера медработникам за выявление онкологических заболеваний в ходе проведения диспансеризации и профилактических медицинских осмотров населения в сумме 3 600,00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Межбюджетные  трансферты из бюджетов других фондов по межтерриториальным расчетам в сумме 277 281,88 рублей из них  просроченная дебиторская задолженность – 344,49 рублей </w:t>
      </w:r>
      <w:r>
        <w:rPr>
          <w:rFonts w:ascii="Times New Roman" w:hAnsi="Times New Roman" w:eastAsia="Times New Roman" w:cs="Times New Roman"/>
          <w:color w:val="000000"/>
          <w:sz w:val="28"/>
          <w:szCs w:val="28"/>
        </w:rPr>
        <w:t xml:space="preserve">ТФОМС Республики Калмыкия.</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связи с техническими сложностями, возникли существенные затруднения с обработкой входящих реестров счетов, таким образом, нарушен срок оплаты счетов.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Дебиторская задолженность (ф. 0503169) по счету 1206.00 в сумме 2 760,18 рублей  сложилась ввиду следующих причин: необходимости осуществления авансовых платежей, предусмотренных в соответствии с заключенными договорами на оказание услуг.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ТФОМС ЕАО (ф. 0503169)  на 1 января 2026 года составила – 485 682 404,84 рублей. Просроченная кредиторская задолженность отсутствует.</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по счету 130221000 «Расчеты по услугам связи» в сумме 3 883,84 руб., по счету 130223000 «Расчеты по коммунальным услугам» в сумме 84 690,95 руб., сложилась в связи с недостаточной суммой аванса по расчетам за электрическую и  тепловую энергию, услуги внутризоновой связи, а также поздним поступлением  документов подтверждающих фактические расходы за декабрь  2025 г.</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Кредиторская задолженность по счету 130251000 «Расчеты по перечислениям текущего характера другим бюджетам бюджетной системы Российской Федерации» в сумме 353 032,81 рублей сложилась в связи поздним выставлением счетов 30 декабря 2025 года за медицинские услуги иных межбюджетных трансфертов бюджетам ТФОМС в ГИС ОМС.</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(ф. 0503169), по счету 130305000 «Расчеты по безвозмездным поступлениям от других бюджетов бюджетной системы Российской Федерации» в сумме 485 238 284,24 рублей, сложилась в виде   остатков  межбюджетных трансфертов, подлежащих возврату в бюджет системы РФ в 2026 году.</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Не исполнено принятых денежных обязательств за 2025 год в ф. 0503128: кредиторская задолженность в сумме 441 360,00 рублей в том числе 1 123,66 рублей за услуги связи, 84 690,95 рублей </w:t>
      </w:r>
      <w:r>
        <w:rPr>
          <w:rFonts w:ascii="Times New Roman" w:hAnsi="Times New Roman" w:eastAsia="Times New Roman" w:cs="Times New Roman"/>
          <w:color w:val="000000"/>
          <w:sz w:val="27"/>
          <w:szCs w:val="27"/>
        </w:rPr>
        <w:t xml:space="preserve">за электрическую, тепловую энергию, услуги внутризоновой связи, 2 513,00 рублей транспортный налог и налог на имущество, 353 032,81 рублей за медицинские услуги иных межбюджетных трансфертов бюджетам ТФОМС выставленных счета 30 декабря 2025 года в ГИС ОМС. </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Times New Roman" w:hAnsi="Times New Roman" w:eastAsia="Times New Roman" w:cs="Times New Roman"/>
          <w:b/>
          <w:color w:val="000000"/>
          <w:sz w:val="28"/>
          <w:szCs w:val="28"/>
        </w:rPr>
        <w:t xml:space="preserve">                    Раздел 5. Прочие вопросы деятельности ТФОМС ЕАО</w:t>
      </w:r>
    </w:p>
    <w:p>
      <w:pPr>
        <w:spacing w:after="0" w:before="0"/>
        <w:ind w:right="0" w:firstLine="0" w:left="0"/>
        <w:jc w:val="both"/>
        <w:outlineLvl w:val="9"/>
        <w:rPr>
          <w:color w:val="000000"/>
        </w:rPr>
      </w:pPr>
      <w:r>
        <w:rPr>
          <w:rFonts w:ascii="Calibri" w:hAnsi="Calibri" w:eastAsia="Calibri" w:cs="Calibri"/>
          <w:color w:val="000000"/>
          <w:sz w:val="20"/>
          <w:szCs w:val="2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2025 году ТФОМС ЕАО принимал активное участие в подготовке и рассмотрении судебных дел по регрессным искам, подаваемым сотрудниками прокуратуры в защиту интересов Российской Федерации в лице ТФОМС ЕАО.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течение 2025 года ТФОМС ЕАО неоднократно привлекался в качестве третьего лица, не заявляющего самостоятельных требований относительно предмета спора в Арбитражный суд Еврейской автономной области.</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течение 2025 года ТФОМС ЕАО неоднократно привлекался в качестве ответчика в Арбитражный суд Еврейской автономной области.</w:t>
      </w:r>
    </w:p>
    <w:p>
      <w:pPr>
        <w:spacing w:after="0" w:before="0"/>
        <w:ind w:right="0" w:firstLine="0" w:left="0"/>
        <w:outlineLvl w:val="9"/>
      </w:pPr>
      <w:r>
        <w:t xml:space="preserve"> </w:t>
      </w:r>
      <w:r>
        <w:rPr>
          <w:color w:val="000000"/>
        </w:rPr>
        <w:t xml:space="preserve">%FILE_CONTENT%</w:t>
      </w:r>
    </w:p>
    <w:p>
      <w:pPr>
        <w:spacing w:after="0" w:before="0"/>
        <w:ind w:right="0" w:firstLine="0" w:left="0"/>
        <w:outlineLvl w:val="9"/>
        <w:rPr>
          <w:rFonts w:ascii="Times New Roman" w:hAnsi="Times New Roman" w:eastAsia="Times New Roman" w:cs="Times New Roman"/>
          <w:sz w:val="24"/>
        </w:rPr>
      </w:pPr>
      <w:r>
        <w:rPr>
          <w:rFonts w:ascii="Times New Roman" w:hAnsi="Times New Roman" w:eastAsia="Times New Roman" w:cs="Times New Roman"/>
          <w:sz w:val="24"/>
          <w:szCs w:val="24"/>
        </w:rPr>
        <w:t xml:space="preserve"> </w:t>
      </w:r>
    </w:p>
    <w:tbl>
      <w:tblPr>
        <w:tblW w:w="9380" w:type="dxa"/>
        <w:tblInd w:w="96"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autofit"/>
        <w:tblCellMar>
          <w:left w:w="0" w:type="dxa"/>
          <w:top w:w="0" w:type="dxa"/>
          <w:right w:w="0" w:type="dxa"/>
          <w:bottom w:w="0" w:type="dxa"/>
        </w:tblCellMar>
      </w:tblPr>
      <w:tblGrid/>
      <w:t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Руководитель</w:t>
            </w:r>
          </w:p>
        </w:tc>
        <w:tc>
          <w:tcPr>
            <w:tcW w:w="204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mc:AlternateContent>
                <mc:Choice Requires="wpg">
                  <w:drawing>
                    <wp:inline xmlns:wp="http://schemas.openxmlformats.org/drawingml/2006/wordprocessingDrawing" distT="0" distB="0" distL="0" distR="0">
                      <wp:extent cx="2857500" cy="9525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r/>
                            </pic:nvPicPr>
                            <pic:blipFill>
                              <a:blip r:embed="rId7"/>
                              <a:stretch/>
                            </pic:blipFill>
                            <pic:spPr>
                              <a:xfrm>
                                <a:off x="0" y="0"/>
                                <a:ext cx="2857500" cy="9525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00pt;height:75.00pt;mso-wrap-distance-left:0.00pt;mso-wrap-distance-top:0.00pt;mso-wrap-distance-right:0.00pt;mso-wrap-distance-bottom:0.00pt;z-index:1;" stroked="false">
                      <v:imagedata r:id="rId7" o:title=""/>
                      <o:lock v:ext="edit" rotation="t"/>
                    </v:shape>
                  </w:pict>
                </mc:Fallback>
              </mc:AlternateConten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u w:val="single"/>
              </w:rPr>
              <w:t xml:space="preserve">Писарева Ольга Юрьевна</w:t>
            </w:r>
          </w:p>
        </w:tc>
      </w:tr>
      <w:tr>
        <w:trPr>
          <w:trHeight w:val="280"/>
        </w:trPr>
        <w:tc>
          <w:tcPr>
            <w:tcW w:w="3570" w:type="dxa"/>
            <w:noWrap/>
            <w:tcMar>
              <w:left w:w="108" w:type="dxa"/>
              <w:top w:w="0" w:type="dxa"/>
              <w:right w:w="108" w:type="dxa"/>
              <w:bottom w:w="0" w:type="dxa"/>
            </w:tcMar>
            <w:vAlign w:val="bottom"/>
            <w:hideMark/>
          </w:tcPr>
          <w:p>
            <w:pPr>
              <w:ind w:right="0" w:left="0"/>
              <w:rPr>
                <w:sz w:val="24"/>
              </w:rPr>
            </w:pP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281"/>
        </w:trPr>
        <w:tc>
          <w:tcPr>
            <w:tcW w:w="0" w:type="auto"/>
            <w:gridSpan w:val="3"/>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 </w:t>
            </w: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Руководитель планово-</w:t>
            </w:r>
          </w:p>
        </w:tc>
        <w:tc>
          <w:tcPr>
            <w:tcW w:w="2040" w:type="dxa"/>
            <w:tcMar>
              <w:left w:w="108" w:type="dxa"/>
              <w:top w:w="0" w:type="dxa"/>
              <w:right w:w="108" w:type="dxa"/>
              <w:bottom w:w="0" w:type="dxa"/>
            </w:tcMar>
            <w:vAlign w:val="center"/>
            <w:hideMark/>
          </w:tcPr>
          <w:p>
            <w:pPr>
              <w:ind w:right="0" w:left="0"/>
              <w:rPr>
                <w:sz w:val="24"/>
              </w:rPr>
            </w:pPr>
          </w:p>
        </w:tc>
        <w:tc>
          <w:tcPr>
            <w:tcW w:w="0" w:type="auto"/>
            <w:tcMar>
              <w:left w:w="108" w:type="dxa"/>
              <w:top w:w="0" w:type="dxa"/>
              <w:right w:w="108" w:type="dxa"/>
              <w:bottom w:w="0" w:type="dxa"/>
            </w:tcMar>
            <w:vAlign w:val="center"/>
            <w:hideMark/>
          </w:tcPr>
          <w:p>
            <w:pPr>
              <w:ind w:right="0" w:left="0"/>
              <w:rPr>
                <w:sz w:val="24"/>
              </w:rPr>
            </w:pP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экономической службы</w:t>
            </w: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281"/>
        </w:trPr>
        <w:tc>
          <w:tcPr>
            <w:tcW w:w="0" w:type="auto"/>
            <w:gridSpan w:val="3"/>
            <w:noWrap/>
            <w:tcMar>
              <w:left w:w="108" w:type="dxa"/>
              <w:top w:w="0" w:type="dxa"/>
              <w:right w:w="108" w:type="dxa"/>
              <w:bottom w:w="0" w:type="dxa"/>
            </w:tcMar>
            <w:vAlign w:val="bottom"/>
            <w:hideMark/>
          </w:tcPr>
          <w:p>
            <w:pPr>
              <w:ind w:right="0" w:left="0"/>
              <w:rPr>
                <w:sz w:val="24"/>
              </w:rPr>
            </w:pP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Главный</w:t>
            </w:r>
          </w:p>
        </w:tc>
        <w:tc>
          <w:tcPr>
            <w:tcW w:w="204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mc:AlternateContent>
                <mc:Choice Requires="wpg">
                  <w:drawing>
                    <wp:inline xmlns:wp="http://schemas.openxmlformats.org/drawingml/2006/wordprocessingDrawing" distT="0" distB="0" distL="0" distR="0">
                      <wp:extent cx="2857500" cy="9525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r/>
                            </pic:nvPicPr>
                            <pic:blipFill>
                              <a:blip r:embed="rId8"/>
                              <a:stretch/>
                            </pic:blipFill>
                            <pic:spPr>
                              <a:xfrm>
                                <a:off x="0" y="0"/>
                                <a:ext cx="2857500" cy="9525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225.00pt;height:75.00pt;mso-wrap-distance-left:0.00pt;mso-wrap-distance-top:0.00pt;mso-wrap-distance-right:0.00pt;mso-wrap-distance-bottom:0.00pt;z-index:1;" stroked="false">
                      <v:imagedata r:id="rId8" o:title=""/>
                      <o:lock v:ext="edit" rotation="t"/>
                    </v:shape>
                  </w:pict>
                </mc:Fallback>
              </mc:AlternateContent>
            </w:r>
          </w:p>
        </w:tc>
        <w:tc>
          <w:tcPr>
            <w:tcW w:w="0" w:type="auto"/>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u w:val="single"/>
              </w:rPr>
              <w:t xml:space="preserve">Беседина Людмила Арнольдовна</w:t>
            </w: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бухгалтер</w:t>
            </w: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449"/>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"____"   ____________ 20____г.</w:t>
            </w:r>
          </w:p>
        </w:tc>
        <w:tc>
          <w:tcPr>
            <w:tcW w:w="0" w:type="auto"/>
            <w:tcMar>
              <w:left w:w="108" w:type="dxa"/>
              <w:top w:w="0" w:type="dxa"/>
              <w:right w:w="108" w:type="dxa"/>
              <w:bottom w:w="0" w:type="dxa"/>
            </w:tcMar>
            <w:vAlign w:val="center"/>
            <w:hideMark/>
          </w:tcPr>
          <w:p>
            <w:pPr>
              <w:ind w:right="0" w:left="0"/>
              <w:rPr>
                <w:sz w:val="24"/>
              </w:rPr>
            </w:pPr>
          </w:p>
        </w:tc>
        <w:tc>
          <w:tcPr>
            <w:tcW w:w="0" w:type="auto"/>
            <w:tcMar>
              <w:left w:w="108" w:type="dxa"/>
              <w:top w:w="0" w:type="dxa"/>
              <w:right w:w="108" w:type="dxa"/>
              <w:bottom w:w="0" w:type="dxa"/>
            </w:tcMar>
            <w:vAlign w:val="center"/>
            <w:hideMark/>
          </w:tcPr>
          <w:p>
            <w:pPr>
              <w:ind w:right="0" w:left="0"/>
              <w:rPr>
                <w:sz w:val="24"/>
              </w:rPr>
            </w:pPr>
          </w:p>
        </w:tc>
      </w:tr>
    </w:tbl>
    <w:p>
      <w:r>
        <w:rPr>
          <w:rFonts w:ascii="Times New Roman" w:hAnsi="Times New Roman" w:eastAsia="Times New Roman" w:cs="Times New Roman"/>
          <w:sz w:val="24"/>
          <w:szCs w:val="24"/>
        </w:rPr>
        <w:t xml:space="preserve">Документ подписан электронной подписью. Дата представления 09.02.2026</w:t>
        <w:br/>
        <w:t xml:space="preserve">Главный бухгалтер(Беседина Людмила Арнольдовна, Сертификат: 00F097840450C74D34275BFBE146603E84, Действителен: с 26.11.2024 по 19.02.2026), Руководитель(Селянина Татьяна Васильевна, Сертификат: 0094D9A23E832E039AC018A3D73028775D, Действителен: с 19.01.2026 по 14.04.2027)        </w:t>
      </w:r>
    </w:p>
    <w:sectPr>
      <w:type w:val="nextPage"/>
      <w:pgSz/>
      <w:pgMa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Calibri">
    <w:panose1 w:val="020F0502020204030204"/>
  </w:font>
  <w:font w:name="Times New Roman">
    <w:panose1 w:val="02020603050405020304"/>
  </w:font>
  <w:font w:name="Symbol">
    <w:panose1 w:val="05010000000000000000"/>
  </w:font>
  <w:font w:name="Cambria">
    <w:panose1 w:val="02040503050406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56986C40">
      <w:lvlJc w:val="left"/>
      <w:lvlText w:val="·"/>
      <w:numFmt w:val="bullet"/>
      <w:pPr>
        <w:ind w:hanging="360" w:left="720"/>
      </w:pPr>
      <w:rPr>
        <w:rFonts w:ascii="Symbol" w:hAnsi="Symbol" w:eastAsia="Symbol" w:cs="Symbol"/>
      </w:rPr>
      <w:start w:val="1"/>
      <w:suff w:val="space"/>
    </w:lvl>
    <w:lvl w:ilvl="1" w:tplc="5CCF31D8">
      <w:lvlJc w:val="left"/>
      <w:lvlText w:val="o"/>
      <w:numFmt w:val="bullet"/>
      <w:pPr>
        <w:ind w:hanging="360" w:left="1440"/>
      </w:pPr>
      <w:rPr>
        <w:rFonts w:ascii="Symbol" w:hAnsi="Symbol"/>
      </w:rPr>
      <w:start w:val="1"/>
      <w:suff w:val="space"/>
    </w:lvl>
    <w:lvl w:ilvl="2" w:tplc="063FFEE5">
      <w:lvlJc w:val="left"/>
      <w:lvlText w:val="·"/>
      <w:numFmt w:val="bullet"/>
      <w:pPr>
        <w:ind w:hanging="360" w:left="2160"/>
      </w:pPr>
      <w:rPr>
        <w:rFonts w:ascii="Symbol" w:hAnsi="Symbol"/>
      </w:rPr>
      <w:start w:val="1"/>
      <w:suff w:val="space"/>
    </w:lvl>
    <w:lvl w:ilvl="3" w:tplc="0C91BB6D">
      <w:lvlJc w:val="left"/>
      <w:lvlText w:val="o"/>
      <w:numFmt w:val="bullet"/>
      <w:pPr>
        <w:ind w:hanging="360" w:left="2880"/>
      </w:pPr>
      <w:rPr>
        <w:rFonts w:ascii="Symbol" w:hAnsi="Symbol"/>
      </w:rPr>
      <w:start w:val="1"/>
      <w:suff w:val="space"/>
    </w:lvl>
    <w:lvl w:ilvl="4" w:tplc="4A9A0289">
      <w:lvlJc w:val="left"/>
      <w:lvlText w:val="·"/>
      <w:numFmt w:val="bullet"/>
      <w:pPr>
        <w:ind w:hanging="360" w:left="3600"/>
      </w:pPr>
      <w:rPr>
        <w:rFonts w:ascii="Symbol" w:hAnsi="Symbol"/>
      </w:rPr>
      <w:start w:val="1"/>
      <w:suff w:val="space"/>
    </w:lvl>
    <w:lvl w:ilvl="5" w:tplc="469F0D6A">
      <w:lvlJc w:val="left"/>
      <w:lvlText w:val="o"/>
      <w:numFmt w:val="bullet"/>
      <w:pPr>
        <w:ind w:hanging="360" w:left="4320"/>
      </w:pPr>
      <w:rPr>
        <w:rFonts w:ascii="Symbol" w:hAnsi="Symbol"/>
      </w:rPr>
      <w:start w:val="1"/>
      <w:suff w:val="space"/>
    </w:lvl>
    <w:lvl w:ilvl="6" w:tplc="05BEBF9B">
      <w:lvlJc w:val="left"/>
      <w:lvlText w:val="·"/>
      <w:numFmt w:val="bullet"/>
      <w:pPr>
        <w:ind w:hanging="360" w:left="5040"/>
      </w:pPr>
      <w:rPr>
        <w:rFonts w:ascii="Symbol" w:hAnsi="Symbol"/>
      </w:rPr>
      <w:start w:val="1"/>
      <w:suff w:val="space"/>
    </w:lvl>
    <w:lvl w:ilvl="7" w:tplc="7C39EB65">
      <w:lvlJc w:val="left"/>
      <w:lvlText w:val="o"/>
      <w:numFmt w:val="bullet"/>
      <w:pPr>
        <w:ind w:hanging="360" w:left="5760"/>
      </w:pPr>
      <w:rPr>
        <w:rFonts w:ascii="Symbol" w:hAnsi="Symbol"/>
      </w:rPr>
      <w:start w:val="1"/>
      <w:suff w:val="space"/>
    </w:lvl>
    <w:lvl w:ilvl="8" w:tplc="6940EA5C">
      <w:lvlJc w:val="left"/>
      <w:lvlText w:val="·"/>
      <w:numFmt w:val="bullet"/>
      <w:pPr>
        <w:ind w:hanging="360" w:left="6480"/>
      </w:pPr>
      <w:rPr>
        <w:rFonts w:ascii="Symbol" w:hAnsi="Symbol"/>
      </w:rPr>
      <w:start w:val="1"/>
      <w:suff w:val="space"/>
    </w:lvl>
  </w:abstractNum>
  <w:abstractNum w:abstractNumId="1">
    <w:multiLevelType w:val="hybridMultilevel"/>
    <w:lvl w:ilvl="0" w:tplc="6139EEA1">
      <w:lvlJc w:val="left"/>
      <w:lvlText w:val="·"/>
      <w:numFmt w:val="bullet"/>
      <w:pPr>
        <w:ind w:hanging="360" w:left="720"/>
      </w:pPr>
      <w:rPr>
        <w:rFonts w:ascii="Symbol" w:hAnsi="Symbol" w:eastAsia="Symbol" w:cs="Symbol"/>
      </w:rPr>
      <w:start w:val="1"/>
      <w:suff w:val="space"/>
    </w:lvl>
    <w:lvl w:ilvl="1" w:tplc="1ADCFE80">
      <w:lvlJc w:val="left"/>
      <w:lvlText w:val="o"/>
      <w:numFmt w:val="bullet"/>
      <w:pPr>
        <w:ind w:hanging="360" w:left="1440"/>
      </w:pPr>
      <w:rPr>
        <w:rFonts w:ascii="Symbol" w:hAnsi="Symbol"/>
      </w:rPr>
      <w:start w:val="1"/>
      <w:suff w:val="space"/>
    </w:lvl>
    <w:lvl w:ilvl="2" w:tplc="17D6862D">
      <w:lvlJc w:val="left"/>
      <w:lvlText w:val="·"/>
      <w:numFmt w:val="bullet"/>
      <w:pPr>
        <w:ind w:hanging="360" w:left="2160"/>
      </w:pPr>
      <w:rPr>
        <w:rFonts w:ascii="Symbol" w:hAnsi="Symbol"/>
      </w:rPr>
      <w:start w:val="1"/>
      <w:suff w:val="space"/>
    </w:lvl>
    <w:lvl w:ilvl="3" w:tplc="6709DC7E">
      <w:lvlJc w:val="left"/>
      <w:lvlText w:val="o"/>
      <w:numFmt w:val="bullet"/>
      <w:pPr>
        <w:ind w:hanging="360" w:left="2880"/>
      </w:pPr>
      <w:rPr>
        <w:rFonts w:ascii="Symbol" w:hAnsi="Symbol"/>
      </w:rPr>
      <w:start w:val="1"/>
      <w:suff w:val="space"/>
    </w:lvl>
    <w:lvl w:ilvl="4" w:tplc="6EC4915B">
      <w:lvlJc w:val="left"/>
      <w:lvlText w:val="·"/>
      <w:numFmt w:val="bullet"/>
      <w:pPr>
        <w:ind w:hanging="360" w:left="3600"/>
      </w:pPr>
      <w:rPr>
        <w:rFonts w:ascii="Symbol" w:hAnsi="Symbol"/>
      </w:rPr>
      <w:start w:val="1"/>
      <w:suff w:val="space"/>
    </w:lvl>
    <w:lvl w:ilvl="5" w:tplc="515E49A6">
      <w:lvlJc w:val="left"/>
      <w:lvlText w:val="o"/>
      <w:numFmt w:val="bullet"/>
      <w:pPr>
        <w:ind w:hanging="360" w:left="4320"/>
      </w:pPr>
      <w:rPr>
        <w:rFonts w:ascii="Symbol" w:hAnsi="Symbol"/>
      </w:rPr>
      <w:start w:val="1"/>
      <w:suff w:val="space"/>
    </w:lvl>
    <w:lvl w:ilvl="6" w:tplc="17BFBD2F">
      <w:lvlJc w:val="left"/>
      <w:lvlText w:val="·"/>
      <w:numFmt w:val="bullet"/>
      <w:pPr>
        <w:ind w:hanging="360" w:left="5040"/>
      </w:pPr>
      <w:rPr>
        <w:rFonts w:ascii="Symbol" w:hAnsi="Symbol"/>
      </w:rPr>
      <w:start w:val="1"/>
      <w:suff w:val="space"/>
    </w:lvl>
    <w:lvl w:ilvl="7" w:tplc="34A9390E">
      <w:lvlJc w:val="left"/>
      <w:lvlText w:val="o"/>
      <w:numFmt w:val="bullet"/>
      <w:pPr>
        <w:ind w:hanging="360" w:left="5760"/>
      </w:pPr>
      <w:rPr>
        <w:rFonts w:ascii="Symbol" w:hAnsi="Symbol"/>
      </w:rPr>
      <w:start w:val="1"/>
      <w:suff w:val="space"/>
    </w:lvl>
    <w:lvl w:ilvl="8" w:tplc="24163512">
      <w:lvlJc w:val="left"/>
      <w:lvlText w:val="·"/>
      <w:numFmt w:val="bullet"/>
      <w:pPr>
        <w:ind w:hanging="360" w:left="6480"/>
      </w:pPr>
      <w:rPr>
        <w:rFonts w:ascii="Symbol" w:hAnsi="Symbol"/>
      </w:rPr>
      <w:start w:val="1"/>
      <w:suff w:val="space"/>
    </w:lvl>
  </w:abstractNum>
  <w:abstractNum w:abstractNumId="2">
    <w:multiLevelType w:val="hybridMultilevel"/>
    <w:lvl w:ilvl="0" w:tplc="1C88B8E1">
      <w:lvlJc w:val="left"/>
      <w:lvlText w:val="·"/>
      <w:numFmt w:val="bullet"/>
      <w:pPr>
        <w:ind w:hanging="360" w:left="720"/>
      </w:pPr>
      <w:rPr>
        <w:rFonts w:ascii="Symbol" w:hAnsi="Symbol" w:eastAsia="Symbol" w:cs="Symbol"/>
      </w:rPr>
      <w:start w:val="1"/>
      <w:suff w:val="space"/>
    </w:lvl>
    <w:lvl w:ilvl="1" w:tplc="7A087795">
      <w:lvlJc w:val="left"/>
      <w:lvlText w:val="o"/>
      <w:numFmt w:val="bullet"/>
      <w:pPr>
        <w:ind w:hanging="360" w:left="1440"/>
      </w:pPr>
      <w:rPr>
        <w:rFonts w:ascii="Symbol" w:hAnsi="Symbol"/>
      </w:rPr>
      <w:start w:val="1"/>
      <w:suff w:val="space"/>
    </w:lvl>
    <w:lvl w:ilvl="2" w:tplc="1957E91C">
      <w:lvlJc w:val="left"/>
      <w:lvlText w:val="·"/>
      <w:numFmt w:val="bullet"/>
      <w:pPr>
        <w:ind w:hanging="360" w:left="2160"/>
      </w:pPr>
      <w:rPr>
        <w:rFonts w:ascii="Symbol" w:hAnsi="Symbol"/>
      </w:rPr>
      <w:start w:val="1"/>
      <w:suff w:val="space"/>
    </w:lvl>
    <w:lvl w:ilvl="3" w:tplc="7BFA46E5">
      <w:lvlJc w:val="left"/>
      <w:lvlText w:val="o"/>
      <w:numFmt w:val="bullet"/>
      <w:pPr>
        <w:ind w:hanging="360" w:left="2880"/>
      </w:pPr>
      <w:rPr>
        <w:rFonts w:ascii="Symbol" w:hAnsi="Symbol"/>
      </w:rPr>
      <w:start w:val="1"/>
      <w:suff w:val="space"/>
    </w:lvl>
    <w:lvl w:ilvl="4" w:tplc="224BC6F1">
      <w:lvlJc w:val="left"/>
      <w:lvlText w:val="·"/>
      <w:numFmt w:val="bullet"/>
      <w:pPr>
        <w:ind w:hanging="360" w:left="3600"/>
      </w:pPr>
      <w:rPr>
        <w:rFonts w:ascii="Symbol" w:hAnsi="Symbol"/>
      </w:rPr>
      <w:start w:val="1"/>
      <w:suff w:val="space"/>
    </w:lvl>
    <w:lvl w:ilvl="5" w:tplc="3F4638DA">
      <w:lvlJc w:val="left"/>
      <w:lvlText w:val="o"/>
      <w:numFmt w:val="bullet"/>
      <w:pPr>
        <w:ind w:hanging="360" w:left="4320"/>
      </w:pPr>
      <w:rPr>
        <w:rFonts w:ascii="Symbol" w:hAnsi="Symbol"/>
      </w:rPr>
      <w:start w:val="1"/>
      <w:suff w:val="space"/>
    </w:lvl>
    <w:lvl w:ilvl="6" w:tplc="5A38E516">
      <w:lvlJc w:val="left"/>
      <w:lvlText w:val="·"/>
      <w:numFmt w:val="bullet"/>
      <w:pPr>
        <w:ind w:hanging="360" w:left="5040"/>
      </w:pPr>
      <w:rPr>
        <w:rFonts w:ascii="Symbol" w:hAnsi="Symbol"/>
      </w:rPr>
      <w:start w:val="1"/>
      <w:suff w:val="space"/>
    </w:lvl>
    <w:lvl w:ilvl="7" w:tplc="44E16D71">
      <w:lvlJc w:val="left"/>
      <w:lvlText w:val="o"/>
      <w:numFmt w:val="bullet"/>
      <w:pPr>
        <w:ind w:hanging="360" w:left="5760"/>
      </w:pPr>
      <w:rPr>
        <w:rFonts w:ascii="Symbol" w:hAnsi="Symbol"/>
      </w:rPr>
      <w:start w:val="1"/>
      <w:suff w:val="space"/>
    </w:lvl>
    <w:lvl w:ilvl="8" w:tplc="3B532AE5">
      <w:lvlJc w:val="left"/>
      <w:lvlText w:val="·"/>
      <w:numFmt w:val="bullet"/>
      <w:pPr>
        <w:ind w:hanging="360" w:left="6480"/>
      </w:pPr>
      <w:rPr>
        <w:rFonts w:ascii="Symbol" w:hAnsi="Symbol"/>
      </w:rPr>
      <w:start w:val="1"/>
      <w:suff w:val="space"/>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val="false"/>
  <w:characterSpacingControl w:val="doNotCompress"/>
  <w:compat/>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2"/>
        <w:szCs w:val="22"/>
      </w:rPr>
    </w:rPrDefault>
    <w:pPrDefault>
      <w:pPr>
        <w:keepNext w:val="false"/>
        <w:keepLines w:val="false"/>
        <w:pageBreakBefore w:val="false"/>
        <w:widowControl w:val="true"/>
        <w:suppressLineNumbers w:val="false"/>
        <w:shd w:val="clear" w:fill="auto"/>
        <w:spacing w:after="0" w:afterAutospacing="0" w:before="0" w:beforeAutospacing="0" w:line="240" w:lineRule="auto"/>
        <w:ind w:right="0" w:firstLine="0" w:left="0"/>
        <w:contextualSpacing w:val="false"/>
        <w:jc w:val="left"/>
        <w:outlineLvl w:val="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P0" w:default="1">
    <w:name w:val="Normal"/>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table" w:styleId="T0" w:default="1">
    <w:name w:val="Normal Table"/>
    <w:tblPr>
      <w:tblCellMar>
        <w:left w:w="108" w:type="dxa"/>
        <w:top w:w="0" w:type="dxa"/>
        <w:right w:w="108" w:type="dxa"/>
        <w:bottom w:w="0" w:type="dxa"/>
      </w:tblCellMar>
    </w:tblPr>
  </w:style>
  <w:style w:type="table" w:styleId="T1">
    <w:name w:val="Table Simple 1"/>
    <w:basedOn w:val="T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Arial"/>
        <a:cs typeface="Arial"/>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ONLYOFFICE/7.5.1.23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smart1/www-data</dc:creator>
  <cp:lastModifiedBy>smart1/www-data</cp:lastModifiedBy>
  <cp:revision>1</cp:revision>
  <dcterms:created xsi:type="dcterms:W3CDTF">2026-02-25T23:09:22Z</dcterms:created>
  <dcterms:modified xsi:type="dcterms:W3CDTF">2026-02-25T23:09:23Z</dcterms:modified>
</cp:coreProperties>
</file>